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Default Extension="gif" ContentType="image/gi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23937" w:rsidRDefault="003F112A" w:rsidP="00023937">
      <w:pPr>
        <w:spacing w:line="288" w:lineRule="auto"/>
        <w:rPr>
          <w:rFonts w:ascii="Arial" w:hAnsi="Arial"/>
        </w:rPr>
      </w:pPr>
      <w:r>
        <w:rPr>
          <w:rFonts w:ascii="Arial" w:hAnsi="Arial"/>
          <w:b/>
          <w:noProof/>
          <w:snapToGrid/>
        </w:rPr>
        <w:drawing>
          <wp:anchor distT="0" distB="0" distL="114300" distR="114300" simplePos="0" relativeHeight="251657216" behindDoc="1" locked="0" layoutInCell="1" allowOverlap="1">
            <wp:simplePos x="0" y="0"/>
            <wp:positionH relativeFrom="column">
              <wp:posOffset>4229100</wp:posOffset>
            </wp:positionH>
            <wp:positionV relativeFrom="paragraph">
              <wp:posOffset>-1089660</wp:posOffset>
            </wp:positionV>
            <wp:extent cx="1737360" cy="1273810"/>
            <wp:effectExtent l="2540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39764" t="21312" r="22578" b="29466"/>
                    <a:stretch>
                      <a:fillRect/>
                    </a:stretch>
                  </pic:blipFill>
                  <pic:spPr bwMode="auto">
                    <a:xfrm>
                      <a:off x="0" y="0"/>
                      <a:ext cx="1737360" cy="1273810"/>
                    </a:xfrm>
                    <a:prstGeom prst="rect">
                      <a:avLst/>
                    </a:prstGeom>
                    <a:noFill/>
                    <a:ln w="9525">
                      <a:noFill/>
                      <a:miter lim="800000"/>
                      <a:headEnd/>
                      <a:tailEnd/>
                    </a:ln>
                  </pic:spPr>
                </pic:pic>
              </a:graphicData>
            </a:graphic>
          </wp:anchor>
        </w:drawing>
      </w:r>
      <w:r w:rsidR="00023937" w:rsidRPr="00F406F6">
        <w:rPr>
          <w:rFonts w:ascii="Arial" w:hAnsi="Arial"/>
          <w:b/>
          <w:sz w:val="32"/>
          <w:szCs w:val="32"/>
        </w:rPr>
        <w:t xml:space="preserve">Actief luisteren </w:t>
      </w:r>
      <w:r w:rsidR="00023937" w:rsidRPr="00F406F6">
        <w:rPr>
          <w:rFonts w:ascii="Arial" w:hAnsi="Arial"/>
          <w:b/>
          <w:sz w:val="32"/>
          <w:szCs w:val="32"/>
        </w:rPr>
        <w:br/>
      </w:r>
      <w:r w:rsidR="00023937" w:rsidRPr="00F406F6">
        <w:rPr>
          <w:rFonts w:ascii="Arial" w:hAnsi="Arial"/>
          <w:b/>
          <w:sz w:val="32"/>
          <w:szCs w:val="32"/>
        </w:rPr>
        <w:br/>
      </w:r>
      <w:r w:rsidR="00023937" w:rsidRPr="00F406F6">
        <w:rPr>
          <w:rFonts w:ascii="Arial" w:hAnsi="Arial"/>
        </w:rPr>
        <w:t>Onderstaande tips kunnen helpen om beter en actiever te luisteren:</w:t>
      </w:r>
    </w:p>
    <w:p w:rsidR="00023937" w:rsidRPr="00F406F6" w:rsidRDefault="00023937" w:rsidP="00023937">
      <w:pPr>
        <w:spacing w:line="288" w:lineRule="auto"/>
        <w:rPr>
          <w:rFonts w:ascii="Arial" w:hAnsi="Arial" w:cs="Arial"/>
          <w:b/>
          <w:sz w:val="20"/>
          <w:lang w:val="nl-NL"/>
        </w:rPr>
      </w:pPr>
    </w:p>
    <w:p w:rsidR="00023937" w:rsidRPr="00F406F6" w:rsidRDefault="00023937" w:rsidP="00023937">
      <w:pPr>
        <w:autoSpaceDE w:val="0"/>
        <w:autoSpaceDN w:val="0"/>
        <w:adjustRightInd w:val="0"/>
        <w:spacing w:after="240"/>
        <w:rPr>
          <w:rFonts w:ascii="Arial" w:hAnsi="Arial"/>
        </w:rPr>
      </w:pPr>
      <w:r w:rsidRPr="00F406F6">
        <w:rPr>
          <w:rFonts w:ascii="Arial" w:hAnsi="Arial"/>
        </w:rPr>
        <w:t>1.</w:t>
      </w:r>
      <w:r w:rsidRPr="00F406F6">
        <w:rPr>
          <w:rFonts w:ascii="Arial" w:hAnsi="Arial"/>
          <w:i/>
        </w:rPr>
        <w:t xml:space="preserve"> Maak oogcontact.</w:t>
      </w:r>
      <w:r w:rsidRPr="00F406F6">
        <w:rPr>
          <w:rFonts w:ascii="Arial" w:hAnsi="Arial"/>
        </w:rPr>
        <w:t xml:space="preserve"> </w:t>
      </w:r>
      <w:r w:rsidRPr="00F406F6">
        <w:rPr>
          <w:rFonts w:ascii="Arial" w:hAnsi="Arial"/>
        </w:rPr>
        <w:br/>
        <w:t>We luisteren met onze oren, maar mensen zien aan onze ogen of we luisteren. Oogcontact met de spreker richt de aandacht, verkleint de kans op afdwalen en is een extra stimulans voor de spreker.</w:t>
      </w:r>
    </w:p>
    <w:p w:rsidR="00023937" w:rsidRPr="00F406F6" w:rsidRDefault="00023937" w:rsidP="00023937">
      <w:pPr>
        <w:autoSpaceDE w:val="0"/>
        <w:autoSpaceDN w:val="0"/>
        <w:adjustRightInd w:val="0"/>
        <w:spacing w:after="240"/>
        <w:rPr>
          <w:rFonts w:ascii="Arial" w:hAnsi="Arial"/>
        </w:rPr>
      </w:pPr>
      <w:r w:rsidRPr="00F406F6">
        <w:rPr>
          <w:rFonts w:ascii="Arial" w:hAnsi="Arial"/>
        </w:rPr>
        <w:t xml:space="preserve">2. </w:t>
      </w:r>
      <w:r w:rsidRPr="00F406F6">
        <w:rPr>
          <w:rFonts w:ascii="Arial" w:hAnsi="Arial"/>
          <w:i/>
        </w:rPr>
        <w:t>Knik en maak gebruik van gezichtsexpressie.</w:t>
      </w:r>
      <w:r w:rsidRPr="00F406F6">
        <w:rPr>
          <w:rFonts w:ascii="Arial" w:hAnsi="Arial"/>
        </w:rPr>
        <w:br/>
        <w:t>Een goed luisteraar laat uit non-verbale signalen zijn belangstelling blijken. Instemmende knikjes en de juiste gezichtsuitdrukking vertellen, samen met oogcontact, de spreker dat je luistert.</w:t>
      </w:r>
    </w:p>
    <w:p w:rsidR="00023937" w:rsidRPr="00F406F6" w:rsidRDefault="00023937" w:rsidP="00023937">
      <w:pPr>
        <w:autoSpaceDE w:val="0"/>
        <w:autoSpaceDN w:val="0"/>
        <w:adjustRightInd w:val="0"/>
        <w:spacing w:after="240"/>
        <w:rPr>
          <w:rFonts w:ascii="Arial" w:hAnsi="Arial"/>
        </w:rPr>
      </w:pPr>
      <w:r w:rsidRPr="00F406F6">
        <w:rPr>
          <w:rFonts w:ascii="Arial" w:hAnsi="Arial"/>
        </w:rPr>
        <w:t xml:space="preserve">3. </w:t>
      </w:r>
      <w:r w:rsidRPr="00F406F6">
        <w:rPr>
          <w:rFonts w:ascii="Arial" w:hAnsi="Arial"/>
          <w:i/>
        </w:rPr>
        <w:t>Doe niets wat de aandacht afleidt.</w:t>
      </w:r>
      <w:r w:rsidRPr="00F406F6">
        <w:rPr>
          <w:rFonts w:ascii="Arial" w:hAnsi="Arial"/>
        </w:rPr>
        <w:t xml:space="preserve"> </w:t>
      </w:r>
      <w:r w:rsidRPr="00F406F6">
        <w:rPr>
          <w:rFonts w:ascii="Arial" w:hAnsi="Arial"/>
        </w:rPr>
        <w:br/>
        <w:t>De tegenpool van belangstelling tonen, is gedrag waaruit de ander kan opmaken dat je gedachten elders zijn. Kijk niet op je horloge, verleg je papieren niet, speel niet met je pen, want dan denkt de ander dat je ongeïnteresseerd bent of je verveelt.</w:t>
      </w:r>
    </w:p>
    <w:p w:rsidR="00023937" w:rsidRPr="00F406F6" w:rsidRDefault="00023937" w:rsidP="00023937">
      <w:pPr>
        <w:autoSpaceDE w:val="0"/>
        <w:autoSpaceDN w:val="0"/>
        <w:adjustRightInd w:val="0"/>
        <w:spacing w:after="240"/>
        <w:rPr>
          <w:rFonts w:ascii="Arial" w:hAnsi="Arial"/>
        </w:rPr>
      </w:pPr>
      <w:r w:rsidRPr="00F406F6">
        <w:rPr>
          <w:rFonts w:ascii="Arial" w:hAnsi="Arial"/>
        </w:rPr>
        <w:t xml:space="preserve">4. </w:t>
      </w:r>
      <w:r w:rsidRPr="00F406F6">
        <w:rPr>
          <w:rFonts w:ascii="Arial" w:hAnsi="Arial"/>
          <w:i/>
        </w:rPr>
        <w:t>Stel vragen.</w:t>
      </w:r>
      <w:r w:rsidRPr="00F406F6">
        <w:rPr>
          <w:rFonts w:ascii="Arial" w:hAnsi="Arial"/>
        </w:rPr>
        <w:t xml:space="preserve"> </w:t>
      </w:r>
      <w:r w:rsidRPr="00F406F6">
        <w:rPr>
          <w:rFonts w:ascii="Arial" w:hAnsi="Arial"/>
        </w:rPr>
        <w:br/>
        <w:t>De kritische luisteraar analyseert en stelt vragen. Dit bevordert een goed begrip en vertelt de spreker dat je luistert.</w:t>
      </w:r>
    </w:p>
    <w:p w:rsidR="00023937" w:rsidRPr="00F406F6" w:rsidRDefault="00023937" w:rsidP="00023937">
      <w:pPr>
        <w:autoSpaceDE w:val="0"/>
        <w:autoSpaceDN w:val="0"/>
        <w:adjustRightInd w:val="0"/>
        <w:spacing w:after="240"/>
        <w:rPr>
          <w:rFonts w:ascii="Arial" w:hAnsi="Arial"/>
        </w:rPr>
      </w:pPr>
      <w:r w:rsidRPr="00F406F6">
        <w:rPr>
          <w:rFonts w:ascii="Arial" w:hAnsi="Arial"/>
        </w:rPr>
        <w:t xml:space="preserve">5. </w:t>
      </w:r>
      <w:r w:rsidRPr="00F406F6">
        <w:rPr>
          <w:rFonts w:ascii="Arial" w:hAnsi="Arial"/>
          <w:i/>
        </w:rPr>
        <w:t>Parafraseer.</w:t>
      </w:r>
      <w:r w:rsidRPr="00F406F6">
        <w:rPr>
          <w:rFonts w:ascii="Arial" w:hAnsi="Arial"/>
        </w:rPr>
        <w:br/>
        <w:t xml:space="preserve">De goede luisteraar gebruikt zinnen als: </w:t>
      </w:r>
      <w:r w:rsidRPr="00F406F6">
        <w:rPr>
          <w:rFonts w:ascii="Mona Lisa Solid ITC TT" w:hAnsi="Mona Lisa Solid ITC TT" w:cs="Mona Lisa Solid ITC TT"/>
        </w:rPr>
        <w:t>ʻ</w:t>
      </w:r>
      <w:r w:rsidRPr="00F406F6">
        <w:rPr>
          <w:rFonts w:ascii="Arial" w:hAnsi="Arial"/>
        </w:rPr>
        <w:t>Wat ik je hoor zeggen, is ...</w:t>
      </w:r>
      <w:r w:rsidRPr="00F406F6">
        <w:rPr>
          <w:rFonts w:ascii="Mona Lisa Solid ITC TT" w:hAnsi="Mona Lisa Solid ITC TT" w:cs="Mona Lisa Solid ITC TT"/>
        </w:rPr>
        <w:t>ʼ</w:t>
      </w:r>
      <w:r w:rsidRPr="00F406F6">
        <w:rPr>
          <w:rFonts w:ascii="Arial" w:hAnsi="Arial"/>
        </w:rPr>
        <w:t xml:space="preserve"> of </w:t>
      </w:r>
      <w:r w:rsidRPr="00F406F6">
        <w:rPr>
          <w:rFonts w:ascii="Mona Lisa Solid ITC TT" w:hAnsi="Mona Lisa Solid ITC TT" w:cs="Mona Lisa Solid ITC TT"/>
        </w:rPr>
        <w:t>ʻ</w:t>
      </w:r>
      <w:r w:rsidRPr="00F406F6">
        <w:rPr>
          <w:rFonts w:ascii="Arial" w:hAnsi="Arial"/>
        </w:rPr>
        <w:t>Bedoelt u ...?</w:t>
      </w:r>
      <w:r w:rsidRPr="00F406F6">
        <w:rPr>
          <w:rFonts w:ascii="Mona Lisa Solid ITC TT" w:hAnsi="Mona Lisa Solid ITC TT" w:cs="Mona Lisa Solid ITC TT"/>
        </w:rPr>
        <w:t>ʼ</w:t>
      </w:r>
      <w:r w:rsidRPr="00F406F6">
        <w:rPr>
          <w:rFonts w:ascii="Arial" w:hAnsi="Arial"/>
        </w:rPr>
        <w:t xml:space="preserve"> </w:t>
      </w:r>
      <w:r>
        <w:rPr>
          <w:rFonts w:ascii="Arial" w:hAnsi="Arial"/>
        </w:rPr>
        <w:t>Dit</w:t>
      </w:r>
      <w:r w:rsidRPr="00F406F6">
        <w:rPr>
          <w:rFonts w:ascii="Arial" w:hAnsi="Arial"/>
        </w:rPr>
        <w:t xml:space="preserve"> is een uitstekende manier om te controleren of je goed luistert en samenvat.</w:t>
      </w:r>
    </w:p>
    <w:p w:rsidR="00023937" w:rsidRPr="00F406F6" w:rsidRDefault="00023937" w:rsidP="00023937">
      <w:pPr>
        <w:autoSpaceDE w:val="0"/>
        <w:autoSpaceDN w:val="0"/>
        <w:adjustRightInd w:val="0"/>
        <w:spacing w:after="240"/>
        <w:rPr>
          <w:rFonts w:ascii="Arial" w:hAnsi="Arial"/>
        </w:rPr>
      </w:pPr>
      <w:r w:rsidRPr="00F406F6">
        <w:rPr>
          <w:rFonts w:ascii="Arial" w:hAnsi="Arial"/>
        </w:rPr>
        <w:t xml:space="preserve">6. </w:t>
      </w:r>
      <w:r w:rsidRPr="00F406F6">
        <w:rPr>
          <w:rFonts w:ascii="Arial" w:hAnsi="Arial"/>
          <w:i/>
        </w:rPr>
        <w:t>Val de ander niet in de rede.</w:t>
      </w:r>
      <w:r w:rsidRPr="00F406F6">
        <w:rPr>
          <w:rFonts w:ascii="Arial" w:hAnsi="Arial"/>
        </w:rPr>
        <w:t xml:space="preserve"> </w:t>
      </w:r>
      <w:r w:rsidRPr="00F406F6">
        <w:rPr>
          <w:rFonts w:ascii="Arial" w:hAnsi="Arial"/>
        </w:rPr>
        <w:br/>
        <w:t>Laat de spreker zijn gedachtengang voltooien, voordat je reageert. Probeer niet te raden welke richting zijn gedachten uitgaan.</w:t>
      </w:r>
    </w:p>
    <w:p w:rsidR="00023937" w:rsidRPr="00F406F6" w:rsidRDefault="00023937" w:rsidP="00023937">
      <w:pPr>
        <w:autoSpaceDE w:val="0"/>
        <w:autoSpaceDN w:val="0"/>
        <w:adjustRightInd w:val="0"/>
        <w:spacing w:after="240"/>
        <w:rPr>
          <w:rFonts w:ascii="Arial" w:hAnsi="Arial"/>
        </w:rPr>
      </w:pPr>
      <w:r w:rsidRPr="00F406F6">
        <w:rPr>
          <w:rFonts w:ascii="Arial" w:hAnsi="Arial"/>
        </w:rPr>
        <w:t xml:space="preserve">7. </w:t>
      </w:r>
      <w:r w:rsidRPr="00F406F6">
        <w:rPr>
          <w:rFonts w:ascii="Arial" w:hAnsi="Arial"/>
          <w:i/>
        </w:rPr>
        <w:t>Praat niet te veel.</w:t>
      </w:r>
      <w:r w:rsidRPr="00F406F6">
        <w:rPr>
          <w:rFonts w:ascii="Arial" w:hAnsi="Arial"/>
        </w:rPr>
        <w:br/>
        <w:t>De meeste mensen brengen liever hun eigen ideeën naar voren dan te luisteren naar anderen. Vaak luisteren we alleen, omdat het de prijs is die we moeten betalen, voordat we zelf het woord mogen voeren. Praten is misschien leuker en je mond houden is niet altijd aangenaam, maar tegelijk praten en luisteren is onmogelijk. De goede luisteraar beseft dit en praat niet te veel.</w:t>
      </w:r>
    </w:p>
    <w:p w:rsidR="00023937" w:rsidRPr="00F406F6" w:rsidRDefault="00023937" w:rsidP="00023937">
      <w:pPr>
        <w:spacing w:line="288" w:lineRule="auto"/>
        <w:rPr>
          <w:rFonts w:ascii="Arial" w:hAnsi="Arial" w:cs="Arial"/>
          <w:sz w:val="20"/>
          <w:lang w:val="nl-NL"/>
        </w:rPr>
      </w:pPr>
    </w:p>
    <w:p w:rsidR="00023937" w:rsidRPr="00F406F6" w:rsidRDefault="00023937" w:rsidP="00023937">
      <w:pPr>
        <w:spacing w:line="288" w:lineRule="auto"/>
        <w:rPr>
          <w:rFonts w:ascii="Arial" w:hAnsi="Arial" w:cs="Arial"/>
          <w:sz w:val="20"/>
          <w:lang w:val="nl-NL"/>
        </w:rPr>
      </w:pPr>
    </w:p>
    <w:p w:rsidR="00023937" w:rsidRPr="00F406F6" w:rsidRDefault="00023937" w:rsidP="00023937">
      <w:pPr>
        <w:spacing w:line="288" w:lineRule="auto"/>
        <w:rPr>
          <w:rFonts w:ascii="Arial" w:hAnsi="Arial" w:cs="Arial"/>
          <w:sz w:val="20"/>
          <w:lang w:val="nl-NL"/>
        </w:rPr>
      </w:pPr>
    </w:p>
    <w:p w:rsidR="00023937" w:rsidRPr="00F406F6" w:rsidRDefault="00023937" w:rsidP="00023937">
      <w:pPr>
        <w:spacing w:line="288" w:lineRule="auto"/>
        <w:rPr>
          <w:rFonts w:ascii="Arial" w:hAnsi="Arial" w:cs="Arial"/>
          <w:sz w:val="20"/>
          <w:lang w:val="nl-NL"/>
        </w:rPr>
      </w:pPr>
      <w:r w:rsidRPr="00F406F6">
        <w:rPr>
          <w:rFonts w:ascii="Arial" w:hAnsi="Arial"/>
          <w:noProof/>
        </w:rPr>
        <w:pict>
          <v:line id="Rechte verbindingslijn 1" o:spid="_x0000_s1028" style="position:absolute;z-index:-251658240;visibility:visible" from="0,7.7pt" to="459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" strokecolor="#f6bc1c" strokeweight="2pt">
            <v:stroke r:id="rId8" o:title="" filltype="pattern"/>
            <v:shadow opacity="24903f" mv:blur="40000f" origin=",.5" offset="0,20000emu"/>
          </v:line>
        </w:pict>
      </w:r>
    </w:p>
    <w:p w:rsidR="00023937" w:rsidRPr="00F406F6" w:rsidRDefault="00023937" w:rsidP="00023937">
      <w:pPr>
        <w:spacing w:line="288" w:lineRule="auto"/>
        <w:rPr>
          <w:rFonts w:ascii="Arial" w:hAnsi="Arial" w:cs="Arial"/>
          <w:sz w:val="20"/>
          <w:lang w:val="nl-NL"/>
        </w:rPr>
      </w:pPr>
    </w:p>
    <w:p w:rsidR="00023937" w:rsidRPr="00F406F6" w:rsidRDefault="00023937" w:rsidP="00023937">
      <w:pPr>
        <w:spacing w:line="288" w:lineRule="auto"/>
        <w:rPr>
          <w:rFonts w:ascii="Arial" w:hAnsi="Arial" w:cs="Arial"/>
          <w:sz w:val="20"/>
          <w:lang w:val="nl-NL"/>
        </w:rPr>
      </w:pPr>
    </w:p>
    <w:sectPr w:rsidR="00023937" w:rsidRPr="00F406F6" w:rsidSect="0002393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2098" w:right="1134" w:bottom="851" w:left="1701" w:header="2098" w:footer="1119" w:gutter="0"/>
      <w:formProt w:val="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37" w:rsidRDefault="00023937">
      <w:r>
        <w:separator/>
      </w:r>
    </w:p>
  </w:endnote>
  <w:endnote w:type="continuationSeparator" w:id="0">
    <w:p w:rsidR="00023937" w:rsidRDefault="000239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ona Lisa Solid ITC TT">
    <w:panose1 w:val="000004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7" w:rsidRDefault="00023937">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7" w:rsidRDefault="00023937" w:rsidP="00023937">
    <w:pPr>
      <w:pStyle w:val="Voettekst"/>
    </w:pPr>
    <w:r>
      <w:tab/>
    </w:r>
    <w:r>
      <w:tab/>
    </w:r>
    <w:r>
      <w:rPr>
        <w:rFonts w:ascii="Cambria" w:hAnsi="Cambria"/>
      </w:rPr>
      <w:t>© mei 2013 – versie 00</w:t>
    </w:r>
  </w:p>
  <w:p w:rsidR="00023937" w:rsidRDefault="00023937">
    <w:pPr>
      <w:pStyle w:val="Voettekst"/>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7" w:rsidRDefault="00023937">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37" w:rsidRDefault="00023937">
      <w:r>
        <w:separator/>
      </w:r>
    </w:p>
  </w:footnote>
  <w:footnote w:type="continuationSeparator" w:id="0">
    <w:p w:rsidR="00023937" w:rsidRDefault="0002393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7" w:rsidRDefault="00023937">
    <w:pPr>
      <w:pStyle w:val="Koptek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7" w:rsidRDefault="00023937">
    <w:pPr>
      <w:pStyle w:val="Koptekst"/>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7" w:rsidRDefault="00023937">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804"/>
    <w:multiLevelType w:val="hybridMultilevel"/>
    <w:tmpl w:val="FEEC4076"/>
    <w:lvl w:ilvl="0" w:tplc="54F6B59E">
      <w:start w:val="6601"/>
      <w:numFmt w:val="bullet"/>
      <w:lvlText w:val="-"/>
      <w:lvlJc w:val="left"/>
      <w:pPr>
        <w:tabs>
          <w:tab w:val="num" w:pos="720"/>
        </w:tabs>
        <w:ind w:left="72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Mona Lisa Solid ITC TT"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Mona Lisa Solid ITC TT"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Mona Lisa Solid ITC TT"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C6A7A0E"/>
    <w:multiLevelType w:val="hybridMultilevel"/>
    <w:tmpl w:val="60B0BA7E"/>
    <w:lvl w:ilvl="0" w:tplc="F57641B6">
      <w:start w:val="2391"/>
      <w:numFmt w:val="bullet"/>
      <w:lvlText w:val="-"/>
      <w:lvlJc w:val="left"/>
      <w:pPr>
        <w:tabs>
          <w:tab w:val="num" w:pos="720"/>
        </w:tabs>
        <w:ind w:left="72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Mona Lisa Solid ITC TT"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Mona Lisa Solid ITC TT"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Mona Lisa Solid ITC TT"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AC53125"/>
    <w:multiLevelType w:val="hybridMultilevel"/>
    <w:tmpl w:val="1E10CC5A"/>
    <w:lvl w:ilvl="0" w:tplc="3712F9E6">
      <w:numFmt w:val="bullet"/>
      <w:lvlText w:val="-"/>
      <w:lvlJc w:val="left"/>
      <w:pPr>
        <w:tabs>
          <w:tab w:val="num" w:pos="360"/>
        </w:tabs>
        <w:ind w:left="360" w:hanging="360"/>
      </w:pPr>
      <w:rPr>
        <w:rFonts w:ascii="Lucida Grande" w:eastAsia="Lucida Grande" w:hAnsi="Lucida Grande" w:cs="Wingdings" w:hint="default"/>
      </w:rPr>
    </w:lvl>
    <w:lvl w:ilvl="1" w:tplc="04130003" w:tentative="1">
      <w:start w:val="1"/>
      <w:numFmt w:val="bullet"/>
      <w:lvlText w:val="o"/>
      <w:lvlJc w:val="left"/>
      <w:pPr>
        <w:tabs>
          <w:tab w:val="num" w:pos="589"/>
        </w:tabs>
        <w:ind w:left="589" w:hanging="360"/>
      </w:pPr>
      <w:rPr>
        <w:rFonts w:ascii="Courier New" w:hAnsi="Courier New" w:cs="Mona Lisa Solid ITC TT" w:hint="default"/>
      </w:rPr>
    </w:lvl>
    <w:lvl w:ilvl="2" w:tplc="04130005" w:tentative="1">
      <w:start w:val="1"/>
      <w:numFmt w:val="bullet"/>
      <w:lvlText w:val=""/>
      <w:lvlJc w:val="left"/>
      <w:pPr>
        <w:tabs>
          <w:tab w:val="num" w:pos="1309"/>
        </w:tabs>
        <w:ind w:left="1309" w:hanging="360"/>
      </w:pPr>
      <w:rPr>
        <w:rFonts w:ascii="Wingdings" w:hAnsi="Wingdings" w:hint="default"/>
      </w:rPr>
    </w:lvl>
    <w:lvl w:ilvl="3" w:tplc="04130001" w:tentative="1">
      <w:start w:val="1"/>
      <w:numFmt w:val="bullet"/>
      <w:lvlText w:val=""/>
      <w:lvlJc w:val="left"/>
      <w:pPr>
        <w:tabs>
          <w:tab w:val="num" w:pos="2029"/>
        </w:tabs>
        <w:ind w:left="2029" w:hanging="360"/>
      </w:pPr>
      <w:rPr>
        <w:rFonts w:ascii="Symbol" w:hAnsi="Symbol" w:hint="default"/>
      </w:rPr>
    </w:lvl>
    <w:lvl w:ilvl="4" w:tplc="04130003" w:tentative="1">
      <w:start w:val="1"/>
      <w:numFmt w:val="bullet"/>
      <w:lvlText w:val="o"/>
      <w:lvlJc w:val="left"/>
      <w:pPr>
        <w:tabs>
          <w:tab w:val="num" w:pos="2749"/>
        </w:tabs>
        <w:ind w:left="2749" w:hanging="360"/>
      </w:pPr>
      <w:rPr>
        <w:rFonts w:ascii="Courier New" w:hAnsi="Courier New" w:cs="Mona Lisa Solid ITC TT" w:hint="default"/>
      </w:rPr>
    </w:lvl>
    <w:lvl w:ilvl="5" w:tplc="04130005" w:tentative="1">
      <w:start w:val="1"/>
      <w:numFmt w:val="bullet"/>
      <w:lvlText w:val=""/>
      <w:lvlJc w:val="left"/>
      <w:pPr>
        <w:tabs>
          <w:tab w:val="num" w:pos="3469"/>
        </w:tabs>
        <w:ind w:left="3469" w:hanging="360"/>
      </w:pPr>
      <w:rPr>
        <w:rFonts w:ascii="Wingdings" w:hAnsi="Wingdings" w:hint="default"/>
      </w:rPr>
    </w:lvl>
    <w:lvl w:ilvl="6" w:tplc="04130001" w:tentative="1">
      <w:start w:val="1"/>
      <w:numFmt w:val="bullet"/>
      <w:lvlText w:val=""/>
      <w:lvlJc w:val="left"/>
      <w:pPr>
        <w:tabs>
          <w:tab w:val="num" w:pos="4189"/>
        </w:tabs>
        <w:ind w:left="4189" w:hanging="360"/>
      </w:pPr>
      <w:rPr>
        <w:rFonts w:ascii="Symbol" w:hAnsi="Symbol" w:hint="default"/>
      </w:rPr>
    </w:lvl>
    <w:lvl w:ilvl="7" w:tplc="04130003" w:tentative="1">
      <w:start w:val="1"/>
      <w:numFmt w:val="bullet"/>
      <w:lvlText w:val="o"/>
      <w:lvlJc w:val="left"/>
      <w:pPr>
        <w:tabs>
          <w:tab w:val="num" w:pos="4909"/>
        </w:tabs>
        <w:ind w:left="4909" w:hanging="360"/>
      </w:pPr>
      <w:rPr>
        <w:rFonts w:ascii="Courier New" w:hAnsi="Courier New" w:cs="Mona Lisa Solid ITC TT" w:hint="default"/>
      </w:rPr>
    </w:lvl>
    <w:lvl w:ilvl="8" w:tplc="04130005" w:tentative="1">
      <w:start w:val="1"/>
      <w:numFmt w:val="bullet"/>
      <w:lvlText w:val=""/>
      <w:lvlJc w:val="left"/>
      <w:pPr>
        <w:tabs>
          <w:tab w:val="num" w:pos="5629"/>
        </w:tabs>
        <w:ind w:left="5629" w:hanging="360"/>
      </w:pPr>
      <w:rPr>
        <w:rFonts w:ascii="Wingdings" w:hAnsi="Wingdings" w:hint="default"/>
      </w:rPr>
    </w:lvl>
  </w:abstractNum>
  <w:abstractNum w:abstractNumId="3">
    <w:nsid w:val="3C302FC7"/>
    <w:multiLevelType w:val="hybridMultilevel"/>
    <w:tmpl w:val="50424BBC"/>
    <w:lvl w:ilvl="0" w:tplc="04090003">
      <w:start w:val="1"/>
      <w:numFmt w:val="bullet"/>
      <w:lvlText w:val="o"/>
      <w:lvlJc w:val="left"/>
      <w:pPr>
        <w:ind w:left="720" w:hanging="360"/>
      </w:pPr>
      <w:rPr>
        <w:rFonts w:ascii="Courier New" w:hAnsi="Courier New" w:cs="Mona Lisa Solid ITC TT" w:hint="default"/>
      </w:rPr>
    </w:lvl>
    <w:lvl w:ilvl="1" w:tplc="04090003" w:tentative="1">
      <w:start w:val="1"/>
      <w:numFmt w:val="bullet"/>
      <w:lvlText w:val="o"/>
      <w:lvlJc w:val="left"/>
      <w:pPr>
        <w:ind w:left="1440" w:hanging="360"/>
      </w:pPr>
      <w:rPr>
        <w:rFonts w:ascii="Courier New" w:hAnsi="Courier New" w:cs="Mona Lisa Solid ITC T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a Lisa Solid ITC T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a Lisa Solid ITC TT"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726F47"/>
    <w:multiLevelType w:val="hybridMultilevel"/>
    <w:tmpl w:val="B8AC526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7E21051B"/>
    <w:multiLevelType w:val="hybridMultilevel"/>
    <w:tmpl w:val="CF129D7A"/>
    <w:lvl w:ilvl="0" w:tplc="0CE06226">
      <w:start w:val="5"/>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080"/>
        </w:tabs>
        <w:ind w:left="1080" w:hanging="360"/>
      </w:pPr>
      <w:rPr>
        <w:rFonts w:ascii="Courier New" w:hAnsi="Courier New" w:cs="Mona Lisa Solid ITC TT"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Mona Lisa Solid ITC TT"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Mona Lisa Solid ITC TT"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colormru v:ext="edit" colors="#f6bc1c"/>
    </o:shapedefaults>
  </w:hdrShapeDefaults>
  <w:footnotePr>
    <w:footnote w:id="-1"/>
    <w:footnote w:id="0"/>
  </w:footnotePr>
  <w:endnotePr>
    <w:numFmt w:val="decimal"/>
    <w:endnote w:id="-1"/>
    <w:endnote w:id="0"/>
  </w:endnotePr>
  <w:compat/>
  <w:rsids>
    <w:rsidRoot w:val="00D03DAE"/>
    <w:rsid w:val="00023937"/>
    <w:rsid w:val="003F112A"/>
  </w:rsids>
  <m:mathPr>
    <m:mathFont m:val="MS Serif"/>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6b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footer" w:uiPriority="99"/>
  </w:latentStyles>
  <w:style w:type="paragraph" w:default="1" w:styleId="Normaal">
    <w:name w:val="Normal"/>
    <w:qFormat/>
    <w:rsid w:val="00D03DAE"/>
    <w:pPr>
      <w:widowControl w:val="0"/>
    </w:pPr>
    <w:rPr>
      <w:rFonts w:ascii="CG Times" w:hAnsi="CG Times"/>
      <w:snapToGrid w:val="0"/>
      <w:sz w:val="24"/>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rsid w:val="005D02D5"/>
    <w:rPr>
      <w:color w:val="0000FF"/>
      <w:u w:val="single"/>
    </w:rPr>
  </w:style>
  <w:style w:type="paragraph" w:styleId="Ballontekst">
    <w:name w:val="Balloon Text"/>
    <w:basedOn w:val="Normaal"/>
    <w:semiHidden/>
    <w:rsid w:val="00706B6B"/>
    <w:rPr>
      <w:rFonts w:ascii="Tahoma" w:hAnsi="Tahoma" w:cs="Tahoma"/>
      <w:sz w:val="16"/>
      <w:szCs w:val="16"/>
    </w:rPr>
  </w:style>
  <w:style w:type="paragraph" w:styleId="Koptekst">
    <w:name w:val="header"/>
    <w:basedOn w:val="Normaal"/>
    <w:rsid w:val="003F7C61"/>
    <w:pPr>
      <w:tabs>
        <w:tab w:val="center" w:pos="4536"/>
        <w:tab w:val="right" w:pos="9072"/>
      </w:tabs>
    </w:pPr>
  </w:style>
  <w:style w:type="paragraph" w:styleId="Voettekst">
    <w:name w:val="footer"/>
    <w:basedOn w:val="Normaal"/>
    <w:link w:val="VoettekstTeken"/>
    <w:uiPriority w:val="99"/>
    <w:rsid w:val="003F7C61"/>
    <w:pPr>
      <w:tabs>
        <w:tab w:val="center" w:pos="4536"/>
        <w:tab w:val="right" w:pos="9072"/>
      </w:tabs>
    </w:pPr>
  </w:style>
  <w:style w:type="character" w:customStyle="1" w:styleId="AnneliesKraaijeveld">
    <w:name w:val="Annelies Kraaijeveld"/>
    <w:semiHidden/>
    <w:rsid w:val="003F7C61"/>
    <w:rPr>
      <w:rFonts w:ascii="Arial" w:hAnsi="Arial" w:cs="Arial"/>
      <w:color w:val="auto"/>
      <w:sz w:val="20"/>
      <w:szCs w:val="20"/>
    </w:rPr>
  </w:style>
  <w:style w:type="paragraph" w:styleId="Normaalweb">
    <w:name w:val="Normal (Web)"/>
    <w:basedOn w:val="Normaal"/>
    <w:rsid w:val="006A06E0"/>
    <w:pPr>
      <w:widowControl/>
      <w:spacing w:line="360" w:lineRule="atLeast"/>
      <w:textAlignment w:val="top"/>
    </w:pPr>
    <w:rPr>
      <w:rFonts w:ascii="Verdana" w:hAnsi="Verdana"/>
      <w:snapToGrid/>
      <w:color w:val="333333"/>
      <w:sz w:val="18"/>
      <w:szCs w:val="18"/>
      <w:lang w:val="nl-NL"/>
    </w:rPr>
  </w:style>
  <w:style w:type="character" w:styleId="Zwaar">
    <w:name w:val="Strong"/>
    <w:qFormat/>
    <w:rsid w:val="006A06E0"/>
    <w:rPr>
      <w:b/>
      <w:bCs/>
    </w:rPr>
  </w:style>
  <w:style w:type="paragraph" w:customStyle="1" w:styleId="standaard1">
    <w:name w:val="standaard1"/>
    <w:basedOn w:val="Normaal"/>
    <w:rsid w:val="000F0B3E"/>
    <w:pPr>
      <w:widowControl/>
    </w:pPr>
    <w:rPr>
      <w:rFonts w:ascii="Lucida Grande" w:hAnsi="Lucida Grande"/>
      <w:snapToGrid/>
      <w:color w:val="000000"/>
      <w:szCs w:val="24"/>
      <w:lang w:val="nl-NL"/>
    </w:rPr>
  </w:style>
  <w:style w:type="character" w:customStyle="1" w:styleId="arjanh">
    <w:name w:val="arjanh"/>
    <w:semiHidden/>
    <w:rsid w:val="00B85F42"/>
    <w:rPr>
      <w:rFonts w:ascii="Arial" w:hAnsi="Arial" w:cs="Arial"/>
      <w:color w:val="000080"/>
      <w:sz w:val="20"/>
      <w:szCs w:val="20"/>
    </w:rPr>
  </w:style>
  <w:style w:type="character" w:customStyle="1" w:styleId="e-mailstijl17">
    <w:name w:val="e-mailstijl17"/>
    <w:semiHidden/>
    <w:rsid w:val="005B26BE"/>
    <w:rPr>
      <w:rFonts w:ascii="Arial" w:hAnsi="Arial" w:cs="Arial" w:hint="default"/>
      <w:color w:val="auto"/>
      <w:sz w:val="20"/>
      <w:szCs w:val="20"/>
    </w:rPr>
  </w:style>
  <w:style w:type="table" w:styleId="Tabelraster">
    <w:name w:val="Table Grid"/>
    <w:basedOn w:val="Standaardtabel"/>
    <w:rsid w:val="00730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Teken">
    <w:name w:val="Voettekst Teken"/>
    <w:basedOn w:val="Standaardalinea-lettertype"/>
    <w:link w:val="Voettekst"/>
    <w:uiPriority w:val="99"/>
    <w:rsid w:val="00D372F0"/>
    <w:rPr>
      <w:rFonts w:ascii="CG Times" w:hAnsi="CG Times"/>
      <w:snapToGrid w:val="0"/>
      <w:sz w:val="24"/>
      <w:lang w:val="en-US"/>
    </w:rPr>
  </w:style>
</w:styles>
</file>

<file path=word/webSettings.xml><?xml version="1.0" encoding="utf-8"?>
<w:webSettings xmlns:r="http://schemas.openxmlformats.org/officeDocument/2006/relationships" xmlns:w="http://schemas.openxmlformats.org/wordprocessingml/2006/main">
  <w:divs>
    <w:div w:id="1273973409">
      <w:bodyDiv w:val="1"/>
      <w:marLeft w:val="0"/>
      <w:marRight w:val="0"/>
      <w:marTop w:val="0"/>
      <w:marBottom w:val="0"/>
      <w:divBdr>
        <w:top w:val="none" w:sz="0" w:space="0" w:color="auto"/>
        <w:left w:val="none" w:sz="0" w:space="0" w:color="auto"/>
        <w:bottom w:val="none" w:sz="0" w:space="0" w:color="auto"/>
        <w:right w:val="none" w:sz="0" w:space="0" w:color="auto"/>
      </w:divBdr>
    </w:div>
    <w:div w:id="1456410731">
      <w:bodyDiv w:val="1"/>
      <w:marLeft w:val="0"/>
      <w:marRight w:val="0"/>
      <w:marTop w:val="0"/>
      <w:marBottom w:val="0"/>
      <w:divBdr>
        <w:top w:val="none" w:sz="0" w:space="0" w:color="auto"/>
        <w:left w:val="none" w:sz="0" w:space="0" w:color="auto"/>
        <w:bottom w:val="none" w:sz="0" w:space="0" w:color="auto"/>
        <w:right w:val="none" w:sz="0" w:space="0" w:color="auto"/>
      </w:divBdr>
      <w:divsChild>
        <w:div w:id="1722364316">
          <w:marLeft w:val="0"/>
          <w:marRight w:val="0"/>
          <w:marTop w:val="0"/>
          <w:marBottom w:val="0"/>
          <w:divBdr>
            <w:top w:val="single" w:sz="8" w:space="1" w:color="auto"/>
            <w:left w:val="single" w:sz="8" w:space="4" w:color="auto"/>
            <w:bottom w:val="single" w:sz="8" w:space="1" w:color="auto"/>
            <w:right w:val="single" w:sz="8" w:space="4"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Secretariaat VCCvD</vt:lpstr>
    </vt:vector>
  </TitlesOfParts>
  <Company>MiSa-Advies</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Secretariaat VCCvD</dc:title>
  <dc:subject/>
  <dc:creator>ChristaH</dc:creator>
  <cp:keywords/>
  <dc:description/>
  <cp:lastModifiedBy>Annemarie Arensen</cp:lastModifiedBy>
  <cp:revision>2</cp:revision>
  <cp:lastPrinted>2013-05-06T07:06:00Z</cp:lastPrinted>
  <dcterms:created xsi:type="dcterms:W3CDTF">2013-06-03T19:44:00Z</dcterms:created>
  <dcterms:modified xsi:type="dcterms:W3CDTF">2013-06-03T19:44:00Z</dcterms:modified>
</cp:coreProperties>
</file>